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0"/>
          <w:shd w:fill="auto" w:val="clear"/>
        </w:rPr>
      </w:pP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4"/>
          <w:shd w:fill="auto" w:val="clear"/>
        </w:rPr>
        <w:t xml:space="preserve">B</w:t>
      </w: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0"/>
          <w:shd w:fill="auto" w:val="clear"/>
        </w:rPr>
        <w:t xml:space="preserve">randeis </w:t>
      </w: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0"/>
          <w:shd w:fill="auto" w:val="clear"/>
        </w:rPr>
        <w:t xml:space="preserve">–</w:t>
      </w: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0"/>
          <w:shd w:fill="auto" w:val="clear"/>
        </w:rPr>
        <w:t xml:space="preserve"> </w:t>
      </w: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4"/>
          <w:shd w:fill="auto" w:val="clear"/>
        </w:rPr>
        <w:t xml:space="preserve">H</w:t>
      </w: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0"/>
          <w:shd w:fill="auto" w:val="clear"/>
        </w:rPr>
        <w:t xml:space="preserve">arvard </w:t>
      </w: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0"/>
          <w:shd w:fill="auto" w:val="clear"/>
        </w:rPr>
        <w:t xml:space="preserve">–</w:t>
      </w: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0"/>
          <w:shd w:fill="auto" w:val="clear"/>
        </w:rPr>
        <w:t xml:space="preserve"> </w:t>
      </w: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4"/>
          <w:shd w:fill="auto" w:val="clear"/>
        </w:rPr>
        <w:t xml:space="preserve">M</w:t>
      </w: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0"/>
          <w:shd w:fill="auto" w:val="clear"/>
        </w:rPr>
        <w:t xml:space="preserve">IT </w:t>
      </w: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0"/>
          <w:shd w:fill="auto" w:val="clear"/>
        </w:rPr>
        <w:t xml:space="preserve">–</w:t>
      </w: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0"/>
          <w:shd w:fill="auto" w:val="clear"/>
        </w:rPr>
        <w:t xml:space="preserve"> </w:t>
      </w: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4"/>
          <w:shd w:fill="auto" w:val="clear"/>
        </w:rPr>
        <w:t xml:space="preserve">N</w:t>
      </w:r>
      <w:r>
        <w:rPr>
          <w:rFonts w:ascii="Imprint MT Shadow" w:hAnsi="Imprint MT Shadow" w:cs="Imprint MT Shadow" w:eastAsia="Imprint MT Shadow"/>
          <w:b/>
          <w:color w:val="auto"/>
          <w:spacing w:val="40"/>
          <w:position w:val="0"/>
          <w:sz w:val="40"/>
          <w:shd w:fill="auto" w:val="clear"/>
        </w:rPr>
        <w:t xml:space="preserve">ortheastern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4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dobe Garamond Pro Bold" w:hAnsi="Adobe Garamond Pro Bold" w:cs="Adobe Garamond Pro Bold" w:eastAsia="Adobe Garamond Pro Bold"/>
          <w:b/>
          <w:caps w:val="true"/>
          <w:color w:val="auto"/>
          <w:spacing w:val="48"/>
          <w:position w:val="0"/>
          <w:sz w:val="52"/>
          <w:shd w:fill="auto" w:val="clear"/>
        </w:rPr>
      </w:pPr>
      <w:r>
        <w:rPr>
          <w:rFonts w:ascii="Adobe Garamond Pro Bold" w:hAnsi="Adobe Garamond Pro Bold" w:cs="Adobe Garamond Pro Bold" w:eastAsia="Adobe Garamond Pro Bold"/>
          <w:b/>
          <w:caps w:val="true"/>
          <w:color w:val="auto"/>
          <w:spacing w:val="48"/>
          <w:position w:val="0"/>
          <w:sz w:val="56"/>
          <w:shd w:fill="auto" w:val="clear"/>
        </w:rPr>
        <w:t xml:space="preserve">M</w:t>
      </w:r>
      <w:r>
        <w:rPr>
          <w:rFonts w:ascii="Adobe Garamond Pro Bold" w:hAnsi="Adobe Garamond Pro Bold" w:cs="Adobe Garamond Pro Bold" w:eastAsia="Adobe Garamond Pro Bold"/>
          <w:b/>
          <w:caps w:val="true"/>
          <w:color w:val="auto"/>
          <w:spacing w:val="48"/>
          <w:position w:val="0"/>
          <w:sz w:val="52"/>
          <w:shd w:fill="auto" w:val="clear"/>
        </w:rPr>
        <w:t xml:space="preserve">athematics </w:t>
      </w:r>
      <w:r>
        <w:rPr>
          <w:rFonts w:ascii="Adobe Garamond Pro Bold" w:hAnsi="Adobe Garamond Pro Bold" w:cs="Adobe Garamond Pro Bold" w:eastAsia="Adobe Garamond Pro Bold"/>
          <w:b/>
          <w:caps w:val="true"/>
          <w:color w:val="auto"/>
          <w:spacing w:val="48"/>
          <w:position w:val="0"/>
          <w:sz w:val="56"/>
          <w:shd w:fill="auto" w:val="clear"/>
        </w:rPr>
        <w:t xml:space="preserve">C</w:t>
      </w:r>
      <w:r>
        <w:rPr>
          <w:rFonts w:ascii="Adobe Garamond Pro Bold" w:hAnsi="Adobe Garamond Pro Bold" w:cs="Adobe Garamond Pro Bold" w:eastAsia="Adobe Garamond Pro Bold"/>
          <w:b/>
          <w:caps w:val="true"/>
          <w:color w:val="auto"/>
          <w:spacing w:val="48"/>
          <w:position w:val="0"/>
          <w:sz w:val="52"/>
          <w:shd w:fill="auto" w:val="clear"/>
        </w:rPr>
        <w:t xml:space="preserve">olloquium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36"/>
          <w:shd w:fill="auto" w:val="clear"/>
        </w:rPr>
        <w:t xml:space="preserve">“Ricci flow in higher dimensions”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36"/>
          <w:shd w:fill="auto" w:val="clear"/>
        </w:rPr>
        <w:t xml:space="preserve">Simon Brendle 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36"/>
          <w:shd w:fill="auto" w:val="clear"/>
        </w:rPr>
        <w:t xml:space="preserve">(Columbia University, New York)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000000"/>
          <w:spacing w:val="0"/>
          <w:position w:val="0"/>
          <w:sz w:val="22"/>
          <w:shd w:fill="FFFFFF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  <w:t xml:space="preserve">Abstract: </w:t>
      </w:r>
      <w:r>
        <w:rPr>
          <w:rFonts w:ascii="Book Antiqua" w:hAnsi="Book Antiqua" w:cs="Book Antiqua" w:eastAsia="Book Antiqua"/>
          <w:color w:val="000000"/>
          <w:spacing w:val="0"/>
          <w:position w:val="0"/>
          <w:sz w:val="22"/>
          <w:shd w:fill="FFFFFF" w:val="clear"/>
        </w:rPr>
        <w:t xml:space="preserve">The Ricci flow, introduced in 1982 by Richard Hamilton, has become one of the most important tools for studying the geometry and topology of manifolds. In dimension 3, we have a good understanding of how singularities form thanks to the work of Hamilton and Perelman. In this lecture, I will discuss how results of a similar nature can be obtained in higher dimensions, under suitable restrictions on the curvature of the initial metric. As a corollary, we obtain a classification, up to diffeomorphism, of all manifolds satisfying these curvature conditions. Our assumptions are sharp in many interesting geometric situations, such as for projective spaces and products of spheres.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</w:rPr>
        <w:t xml:space="preserve">Thursday April 27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  <w:vertAlign w:val="superscript"/>
        </w:rPr>
        <w:t xml:space="preserve">th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</w:rPr>
        <w:t xml:space="preserve">, 2017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</w:rPr>
        <w:t xml:space="preserve">4:30PM-5:30PM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</w:rPr>
        <w:t xml:space="preserve">MIT, Room 2-190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</w:rPr>
        <w:t xml:space="preserve">Reception in 2-290 at 4:00PM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